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9D0D" w14:textId="45F96232" w:rsidR="00C10498" w:rsidRDefault="00C10498"/>
    <w:p w14:paraId="02250C87" w14:textId="42E7678A" w:rsidR="00213BD9" w:rsidRPr="00213BD9" w:rsidRDefault="00213BD9" w:rsidP="00213BD9">
      <w:pPr>
        <w:spacing w:after="24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13BD9">
        <w:rPr>
          <w:rFonts w:asciiTheme="minorHAnsi" w:hAnsiTheme="minorHAnsi" w:cstheme="minorHAnsi"/>
          <w:b/>
          <w:sz w:val="28"/>
          <w:szCs w:val="28"/>
          <w:lang w:val="en-US"/>
        </w:rPr>
        <w:t>Additional information for manuscript 5043</w:t>
      </w:r>
    </w:p>
    <w:p w14:paraId="1A99BD2B" w14:textId="77777777" w:rsidR="00213BD9" w:rsidRDefault="00213BD9" w:rsidP="00213BD9">
      <w:pPr>
        <w:spacing w:after="240"/>
        <w:jc w:val="both"/>
        <w:rPr>
          <w:rFonts w:asciiTheme="minorHAnsi" w:hAnsiTheme="minorHAnsi" w:cstheme="minorHAnsi"/>
          <w:b/>
          <w:bCs/>
          <w:sz w:val="20"/>
          <w:szCs w:val="18"/>
          <w:lang w:val="en-GB"/>
        </w:rPr>
      </w:pPr>
    </w:p>
    <w:p w14:paraId="3EF452A8" w14:textId="0E3DFA0E" w:rsidR="00213BD9" w:rsidRDefault="00213BD9" w:rsidP="00213BD9">
      <w:pPr>
        <w:spacing w:after="240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213BD9">
        <w:rPr>
          <w:rFonts w:asciiTheme="minorHAnsi" w:hAnsiTheme="minorHAnsi" w:cstheme="minorHAnsi"/>
          <w:b/>
          <w:bCs/>
          <w:sz w:val="20"/>
          <w:szCs w:val="18"/>
          <w:lang w:val="en-GB"/>
        </w:rPr>
        <w:t>Ad</w:t>
      </w:r>
      <w:r>
        <w:rPr>
          <w:rFonts w:asciiTheme="minorHAnsi" w:hAnsiTheme="minorHAnsi" w:cstheme="minorHAnsi"/>
          <w:b/>
          <w:bCs/>
          <w:sz w:val="20"/>
          <w:szCs w:val="18"/>
          <w:lang w:val="en-GB"/>
        </w:rPr>
        <w:t xml:space="preserve">ditional information - 2. </w:t>
      </w:r>
      <w:r w:rsidRPr="00D4042E">
        <w:rPr>
          <w:rFonts w:asciiTheme="minorHAnsi" w:hAnsiTheme="minorHAnsi" w:cstheme="minorHAnsi"/>
          <w:b/>
          <w:sz w:val="20"/>
          <w:szCs w:val="18"/>
          <w:lang w:val="en-US"/>
        </w:rPr>
        <w:t>Customer satisfaction: on satisfiers, dissatisfiers, criticals and neutrals</w:t>
      </w:r>
    </w:p>
    <w:p w14:paraId="6C67FB57" w14:textId="73DEA1DB" w:rsidR="00213BD9" w:rsidRPr="00213BD9" w:rsidRDefault="00213BD9" w:rsidP="00213BD9">
      <w:pPr>
        <w:spacing w:after="240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D4042E">
        <w:rPr>
          <w:rFonts w:asciiTheme="minorHAnsi" w:hAnsiTheme="minorHAnsi" w:cstheme="minorHAnsi"/>
          <w:sz w:val="20"/>
          <w:szCs w:val="18"/>
          <w:lang w:val="en-GB"/>
        </w:rPr>
        <w:t>Several terms are used to refer to the different antecedents to (dis)satisfaction (see table 1).</w:t>
      </w:r>
    </w:p>
    <w:p w14:paraId="578E5448" w14:textId="77777777" w:rsidR="00213BD9" w:rsidRPr="00213BD9" w:rsidRDefault="00213BD9" w:rsidP="00213BD9">
      <w:pPr>
        <w:spacing w:after="240"/>
        <w:jc w:val="both"/>
        <w:rPr>
          <w:rFonts w:asciiTheme="minorHAnsi" w:hAnsiTheme="minorHAnsi" w:cstheme="minorHAnsi"/>
          <w:b/>
          <w:sz w:val="20"/>
          <w:szCs w:val="18"/>
          <w:lang w:val="en-GB"/>
        </w:rPr>
      </w:pPr>
    </w:p>
    <w:p w14:paraId="15845B81" w14:textId="625E5276" w:rsidR="00213BD9" w:rsidRPr="00D4042E" w:rsidRDefault="00213BD9" w:rsidP="00213BD9">
      <w:pPr>
        <w:spacing w:after="240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D4042E">
        <w:rPr>
          <w:rFonts w:asciiTheme="minorHAnsi" w:hAnsiTheme="minorHAnsi" w:cstheme="minorHAnsi"/>
          <w:b/>
          <w:sz w:val="20"/>
          <w:szCs w:val="18"/>
          <w:lang w:val="en-US"/>
        </w:rPr>
        <w:t>Table 1</w:t>
      </w:r>
      <w:r w:rsidRPr="00D4042E">
        <w:rPr>
          <w:rFonts w:asciiTheme="minorHAnsi" w:hAnsiTheme="minorHAnsi" w:cstheme="minorHAnsi"/>
          <w:sz w:val="20"/>
          <w:szCs w:val="18"/>
          <w:lang w:val="en-US"/>
        </w:rPr>
        <w:t xml:space="preserve"> Overview of different takes on the taxonomies of (dis)satisfaction.</w:t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1482"/>
        <w:gridCol w:w="1481"/>
        <w:gridCol w:w="1496"/>
        <w:gridCol w:w="1357"/>
      </w:tblGrid>
      <w:tr w:rsidR="00213BD9" w:rsidRPr="00D4042E" w14:paraId="6947A79E" w14:textId="77777777" w:rsidTr="004E46A0">
        <w:tc>
          <w:tcPr>
            <w:tcW w:w="3119" w:type="dxa"/>
          </w:tcPr>
          <w:p w14:paraId="11B72F2B" w14:textId="77777777" w:rsidR="00213BD9" w:rsidRPr="00D4042E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nl-NL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nl-NL"/>
              </w:rPr>
              <w:t>Herzberg et al. 1959</w:t>
            </w:r>
          </w:p>
          <w:p w14:paraId="3B994D27" w14:textId="77777777" w:rsidR="00213BD9" w:rsidRPr="00D4042E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nl-NL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nl-NL"/>
              </w:rPr>
              <w:t>Sligman (1970)</w:t>
            </w:r>
          </w:p>
          <w:p w14:paraId="0331A46B" w14:textId="77777777" w:rsidR="00213BD9" w:rsidRPr="00D4042E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nl-NL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nl-NL"/>
              </w:rPr>
              <w:t>Zhang &amp; Dran (2000)</w:t>
            </w:r>
          </w:p>
        </w:tc>
        <w:tc>
          <w:tcPr>
            <w:tcW w:w="1559" w:type="dxa"/>
          </w:tcPr>
          <w:p w14:paraId="227D48C8" w14:textId="77777777" w:rsidR="00213BD9" w:rsidRPr="00213BD9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nl-NL"/>
              </w:rPr>
            </w:pPr>
          </w:p>
          <w:p w14:paraId="3B5DE512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 xml:space="preserve">Motivators </w:t>
            </w:r>
          </w:p>
        </w:tc>
        <w:tc>
          <w:tcPr>
            <w:tcW w:w="1559" w:type="dxa"/>
          </w:tcPr>
          <w:p w14:paraId="1C29A7CD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05172929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 xml:space="preserve">Hygienes </w:t>
            </w:r>
          </w:p>
        </w:tc>
        <w:tc>
          <w:tcPr>
            <w:tcW w:w="1560" w:type="dxa"/>
          </w:tcPr>
          <w:p w14:paraId="6492BA85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372" w:type="dxa"/>
          </w:tcPr>
          <w:p w14:paraId="6C0A7C18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213BD9" w:rsidRPr="00D4042E" w14:paraId="714048E3" w14:textId="77777777" w:rsidTr="004E46A0">
        <w:tc>
          <w:tcPr>
            <w:tcW w:w="3119" w:type="dxa"/>
          </w:tcPr>
          <w:p w14:paraId="7CF63ED2" w14:textId="77777777" w:rsidR="00213BD9" w:rsidRPr="00213BD9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nl-NL"/>
              </w:rPr>
            </w:pPr>
            <w:r w:rsidRPr="00213BD9">
              <w:rPr>
                <w:rFonts w:asciiTheme="minorHAnsi" w:hAnsiTheme="minorHAnsi" w:cstheme="minorHAnsi"/>
                <w:szCs w:val="18"/>
                <w:lang w:val="nl-NL"/>
              </w:rPr>
              <w:t>Kano et al. (1984)</w:t>
            </w:r>
          </w:p>
          <w:p w14:paraId="0DD50A1C" w14:textId="77777777" w:rsidR="00213BD9" w:rsidRPr="00213BD9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nl-NL"/>
              </w:rPr>
            </w:pPr>
            <w:r w:rsidRPr="00213BD9">
              <w:rPr>
                <w:rFonts w:asciiTheme="minorHAnsi" w:hAnsiTheme="minorHAnsi" w:cstheme="minorHAnsi"/>
                <w:szCs w:val="18"/>
                <w:lang w:val="nl-NL"/>
              </w:rPr>
              <w:t>Fuller &amp; Mazler (2008)</w:t>
            </w:r>
          </w:p>
        </w:tc>
        <w:tc>
          <w:tcPr>
            <w:tcW w:w="1559" w:type="dxa"/>
          </w:tcPr>
          <w:p w14:paraId="40F1858D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Enthusiasm factors</w:t>
            </w:r>
          </w:p>
        </w:tc>
        <w:tc>
          <w:tcPr>
            <w:tcW w:w="1559" w:type="dxa"/>
          </w:tcPr>
          <w:p w14:paraId="0C9D409A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Necessity factors</w:t>
            </w:r>
          </w:p>
        </w:tc>
        <w:tc>
          <w:tcPr>
            <w:tcW w:w="1560" w:type="dxa"/>
          </w:tcPr>
          <w:p w14:paraId="07C40746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Performance factors</w:t>
            </w:r>
          </w:p>
        </w:tc>
        <w:tc>
          <w:tcPr>
            <w:tcW w:w="1372" w:type="dxa"/>
          </w:tcPr>
          <w:p w14:paraId="0657CC2B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213BD9" w:rsidRPr="00D4042E" w14:paraId="3BAA727D" w14:textId="77777777" w:rsidTr="004E46A0">
        <w:tc>
          <w:tcPr>
            <w:tcW w:w="3119" w:type="dxa"/>
          </w:tcPr>
          <w:p w14:paraId="4A39204E" w14:textId="77777777" w:rsidR="00213BD9" w:rsidRPr="00D4042E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Oliver (1995)</w:t>
            </w:r>
          </w:p>
        </w:tc>
        <w:tc>
          <w:tcPr>
            <w:tcW w:w="1559" w:type="dxa"/>
          </w:tcPr>
          <w:p w14:paraId="0C992349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Monovalent Satisfiers</w:t>
            </w:r>
          </w:p>
        </w:tc>
        <w:tc>
          <w:tcPr>
            <w:tcW w:w="1559" w:type="dxa"/>
          </w:tcPr>
          <w:p w14:paraId="69EB5DEA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Monovalant Dissatisfiers</w:t>
            </w:r>
          </w:p>
        </w:tc>
        <w:tc>
          <w:tcPr>
            <w:tcW w:w="1560" w:type="dxa"/>
          </w:tcPr>
          <w:p w14:paraId="057ED545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Bivalent Satisfiers</w:t>
            </w:r>
          </w:p>
        </w:tc>
        <w:tc>
          <w:tcPr>
            <w:tcW w:w="1372" w:type="dxa"/>
          </w:tcPr>
          <w:p w14:paraId="6DC863D2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Null Relationships</w:t>
            </w:r>
          </w:p>
        </w:tc>
      </w:tr>
      <w:tr w:rsidR="00213BD9" w:rsidRPr="00D4042E" w14:paraId="522894B6" w14:textId="77777777" w:rsidTr="004E46A0">
        <w:tc>
          <w:tcPr>
            <w:tcW w:w="3119" w:type="dxa"/>
          </w:tcPr>
          <w:p w14:paraId="14F7015A" w14:textId="77777777" w:rsidR="00213BD9" w:rsidRPr="00D4042E" w:rsidRDefault="00213BD9" w:rsidP="004E46A0">
            <w:pPr>
              <w:spacing w:after="24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Cadotte &amp; Turgeon (1988)</w:t>
            </w:r>
          </w:p>
        </w:tc>
        <w:tc>
          <w:tcPr>
            <w:tcW w:w="1559" w:type="dxa"/>
          </w:tcPr>
          <w:p w14:paraId="62FB884D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Satisfiers</w:t>
            </w:r>
          </w:p>
        </w:tc>
        <w:tc>
          <w:tcPr>
            <w:tcW w:w="1559" w:type="dxa"/>
          </w:tcPr>
          <w:p w14:paraId="66A8CB0F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Dissatisfiers</w:t>
            </w:r>
          </w:p>
        </w:tc>
        <w:tc>
          <w:tcPr>
            <w:tcW w:w="1560" w:type="dxa"/>
          </w:tcPr>
          <w:p w14:paraId="7482FD86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Criticals</w:t>
            </w:r>
          </w:p>
        </w:tc>
        <w:tc>
          <w:tcPr>
            <w:tcW w:w="1372" w:type="dxa"/>
          </w:tcPr>
          <w:p w14:paraId="60450047" w14:textId="77777777" w:rsidR="00213BD9" w:rsidRPr="00D4042E" w:rsidRDefault="00213BD9" w:rsidP="004E46A0">
            <w:pPr>
              <w:spacing w:after="240"/>
              <w:jc w:val="both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4042E">
              <w:rPr>
                <w:rFonts w:asciiTheme="minorHAnsi" w:hAnsiTheme="minorHAnsi" w:cstheme="minorHAnsi"/>
                <w:szCs w:val="18"/>
                <w:lang w:val="en-US"/>
              </w:rPr>
              <w:t>Neutrals</w:t>
            </w:r>
          </w:p>
        </w:tc>
      </w:tr>
    </w:tbl>
    <w:p w14:paraId="0B38ECD6" w14:textId="21E28AF6" w:rsidR="00EF79F5" w:rsidRDefault="00EF79F5"/>
    <w:p w14:paraId="237F15CB" w14:textId="3036BF7E" w:rsidR="00213BD9" w:rsidRDefault="00213BD9" w:rsidP="00213BD9">
      <w:pPr>
        <w:spacing w:after="240"/>
        <w:jc w:val="both"/>
        <w:rPr>
          <w:rFonts w:asciiTheme="minorHAnsi" w:hAnsiTheme="minorHAnsi" w:cstheme="minorHAnsi"/>
          <w:b/>
          <w:sz w:val="20"/>
          <w:szCs w:val="18"/>
          <w:lang w:val="en-US"/>
        </w:rPr>
      </w:pPr>
    </w:p>
    <w:p w14:paraId="4184487C" w14:textId="0ADD844F" w:rsidR="00EA560E" w:rsidRDefault="00EA560E" w:rsidP="00213BD9">
      <w:pPr>
        <w:spacing w:after="240"/>
        <w:jc w:val="both"/>
        <w:rPr>
          <w:rFonts w:asciiTheme="minorHAnsi" w:hAnsiTheme="minorHAnsi" w:cstheme="minorHAnsi"/>
          <w:sz w:val="20"/>
          <w:szCs w:val="18"/>
          <w:lang w:val="en-US"/>
        </w:rPr>
      </w:pPr>
    </w:p>
    <w:p w14:paraId="6F297435" w14:textId="77777777" w:rsidR="00EA560E" w:rsidRDefault="00EA560E" w:rsidP="00213BD9">
      <w:pPr>
        <w:spacing w:after="240"/>
        <w:jc w:val="both"/>
        <w:rPr>
          <w:rFonts w:asciiTheme="minorHAnsi" w:hAnsiTheme="minorHAnsi" w:cstheme="minorHAnsi"/>
          <w:b/>
          <w:sz w:val="20"/>
          <w:szCs w:val="18"/>
          <w:lang w:val="en-US"/>
        </w:rPr>
      </w:pPr>
    </w:p>
    <w:p w14:paraId="3F87BB03" w14:textId="2D550796" w:rsidR="00213BD9" w:rsidRDefault="00213BD9" w:rsidP="00213BD9">
      <w:pPr>
        <w:spacing w:after="240"/>
        <w:jc w:val="both"/>
        <w:rPr>
          <w:rFonts w:asciiTheme="minorHAnsi" w:hAnsiTheme="minorHAnsi" w:cstheme="minorHAnsi"/>
          <w:b/>
          <w:sz w:val="20"/>
          <w:szCs w:val="18"/>
          <w:lang w:val="en-US"/>
        </w:rPr>
      </w:pPr>
      <w:r>
        <w:rPr>
          <w:rFonts w:asciiTheme="minorHAnsi" w:hAnsiTheme="minorHAnsi" w:cstheme="minorHAnsi"/>
          <w:b/>
          <w:sz w:val="20"/>
          <w:szCs w:val="18"/>
          <w:lang w:val="en-US"/>
        </w:rPr>
        <w:t xml:space="preserve">Additional information - </w:t>
      </w:r>
      <w:r w:rsidR="004B724A">
        <w:rPr>
          <w:rFonts w:asciiTheme="minorHAnsi" w:hAnsiTheme="minorHAnsi" w:cstheme="minorHAnsi"/>
          <w:b/>
          <w:sz w:val="20"/>
          <w:szCs w:val="18"/>
          <w:lang w:val="en-US"/>
        </w:rPr>
        <w:t>3</w:t>
      </w:r>
      <w:r w:rsidRPr="00D4042E">
        <w:rPr>
          <w:rFonts w:asciiTheme="minorHAnsi" w:hAnsiTheme="minorHAnsi" w:cstheme="minorHAnsi"/>
          <w:b/>
          <w:sz w:val="20"/>
          <w:szCs w:val="18"/>
          <w:lang w:val="en-US"/>
        </w:rPr>
        <w:t xml:space="preserve">. </w:t>
      </w:r>
      <w:r w:rsidR="004B724A">
        <w:rPr>
          <w:rFonts w:asciiTheme="minorHAnsi" w:hAnsiTheme="minorHAnsi" w:cstheme="minorHAnsi"/>
          <w:b/>
          <w:sz w:val="20"/>
          <w:szCs w:val="18"/>
          <w:lang w:val="en-US"/>
        </w:rPr>
        <w:t>Methodology</w:t>
      </w:r>
    </w:p>
    <w:p w14:paraId="388A4A9B" w14:textId="4DCF7F59" w:rsidR="00BB4763" w:rsidRDefault="004B724A" w:rsidP="00213BD9">
      <w:pPr>
        <w:spacing w:after="240"/>
        <w:jc w:val="both"/>
        <w:rPr>
          <w:rFonts w:asciiTheme="minorHAnsi" w:hAnsiTheme="minorHAnsi" w:cstheme="minorHAnsi"/>
          <w:bCs/>
          <w:sz w:val="20"/>
          <w:szCs w:val="18"/>
          <w:lang w:val="en-US"/>
        </w:rPr>
      </w:pPr>
      <w:r>
        <w:rPr>
          <w:rFonts w:asciiTheme="minorHAnsi" w:hAnsiTheme="minorHAnsi" w:cstheme="minorHAnsi"/>
          <w:bCs/>
          <w:sz w:val="20"/>
          <w:szCs w:val="18"/>
          <w:lang w:val="en-US"/>
        </w:rPr>
        <w:t xml:space="preserve">Included is </w:t>
      </w:r>
      <w:r w:rsidR="007F16D5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separate document containing </w:t>
      </w:r>
      <w:r>
        <w:rPr>
          <w:rFonts w:asciiTheme="minorHAnsi" w:hAnsiTheme="minorHAnsi" w:cstheme="minorHAnsi"/>
          <w:bCs/>
          <w:sz w:val="20"/>
          <w:szCs w:val="18"/>
          <w:lang w:val="en-US"/>
        </w:rPr>
        <w:t xml:space="preserve">one of the </w:t>
      </w:r>
      <w:r w:rsidR="00BB4763">
        <w:rPr>
          <w:rFonts w:asciiTheme="minorHAnsi" w:hAnsiTheme="minorHAnsi" w:cstheme="minorHAnsi"/>
          <w:bCs/>
          <w:sz w:val="20"/>
          <w:szCs w:val="18"/>
          <w:lang w:val="en-US"/>
        </w:rPr>
        <w:t>original surveys</w:t>
      </w:r>
      <w:r w:rsidR="007F16D5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in the VvE-case</w:t>
      </w:r>
      <w:r w:rsidR="00A6465B">
        <w:rPr>
          <w:rFonts w:asciiTheme="minorHAnsi" w:hAnsiTheme="minorHAnsi" w:cstheme="minorHAnsi"/>
          <w:bCs/>
          <w:sz w:val="20"/>
          <w:szCs w:val="18"/>
          <w:lang w:val="en-US"/>
        </w:rPr>
        <w:t>.</w:t>
      </w:r>
      <w:r w:rsidR="00BB4763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</w:t>
      </w:r>
    </w:p>
    <w:p w14:paraId="4864E055" w14:textId="307FA42A" w:rsidR="00BB4763" w:rsidRPr="004B724A" w:rsidRDefault="00BB4763" w:rsidP="00213BD9">
      <w:pPr>
        <w:spacing w:after="240"/>
        <w:jc w:val="both"/>
        <w:rPr>
          <w:rFonts w:asciiTheme="minorHAnsi" w:hAnsiTheme="minorHAnsi" w:cstheme="minorHAnsi"/>
          <w:bCs/>
          <w:sz w:val="20"/>
          <w:szCs w:val="18"/>
          <w:lang w:val="en-US"/>
        </w:rPr>
      </w:pPr>
    </w:p>
    <w:sectPr w:rsidR="00BB4763" w:rsidRPr="004B7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611"/>
    <w:multiLevelType w:val="multilevel"/>
    <w:tmpl w:val="F61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D604E"/>
    <w:multiLevelType w:val="multilevel"/>
    <w:tmpl w:val="9D3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B064D"/>
    <w:multiLevelType w:val="multilevel"/>
    <w:tmpl w:val="B07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43D5D"/>
    <w:multiLevelType w:val="multilevel"/>
    <w:tmpl w:val="BB9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42F9F"/>
    <w:multiLevelType w:val="multilevel"/>
    <w:tmpl w:val="579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52CE9"/>
    <w:multiLevelType w:val="multilevel"/>
    <w:tmpl w:val="691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5647C"/>
    <w:multiLevelType w:val="multilevel"/>
    <w:tmpl w:val="852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D69F4"/>
    <w:multiLevelType w:val="multilevel"/>
    <w:tmpl w:val="24C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5"/>
    <w:rsid w:val="0017577A"/>
    <w:rsid w:val="00213BD9"/>
    <w:rsid w:val="004B724A"/>
    <w:rsid w:val="004C19BB"/>
    <w:rsid w:val="007F16D5"/>
    <w:rsid w:val="00854074"/>
    <w:rsid w:val="00A17796"/>
    <w:rsid w:val="00A6465B"/>
    <w:rsid w:val="00AD32C8"/>
    <w:rsid w:val="00BB4763"/>
    <w:rsid w:val="00C10498"/>
    <w:rsid w:val="00C8540D"/>
    <w:rsid w:val="00EA560E"/>
    <w:rsid w:val="00EF79F5"/>
    <w:rsid w:val="00F029A1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90F5"/>
  <w15:chartTrackingRefBased/>
  <w15:docId w15:val="{CBFEAED8-C564-9A46-A60D-1C5B1EB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F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BD9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24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24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Oostra</dc:creator>
  <cp:keywords/>
  <dc:description/>
  <cp:lastModifiedBy>Editor</cp:lastModifiedBy>
  <cp:revision>2</cp:revision>
  <dcterms:created xsi:type="dcterms:W3CDTF">2022-03-08T09:34:00Z</dcterms:created>
  <dcterms:modified xsi:type="dcterms:W3CDTF">2022-03-08T09:34:00Z</dcterms:modified>
</cp:coreProperties>
</file>